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8F8" w:rsidRDefault="009E7FB6" w:rsidP="008F1BE9">
      <w:pPr>
        <w:autoSpaceDE w:val="0"/>
        <w:autoSpaceDN w:val="0"/>
        <w:adjustRightInd w:val="0"/>
        <w:ind w:left="6480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744980" cy="42672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8F1BE9" w:rsidRDefault="008F1BE9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C604B2" w:rsidRDefault="008F1BE9" w:rsidP="00E34D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CenturyLink</w:t>
      </w:r>
      <w:r w:rsidR="009B08F8">
        <w:rPr>
          <w:rFonts w:ascii="Arial" w:hAnsi="Arial" w:cs="Arial"/>
          <w:b/>
          <w:bCs/>
          <w:sz w:val="48"/>
          <w:szCs w:val="48"/>
        </w:rPr>
        <w:t xml:space="preserve"> </w:t>
      </w:r>
      <w:r w:rsidR="00E34D42">
        <w:rPr>
          <w:rFonts w:ascii="Arial" w:hAnsi="Arial" w:cs="Arial"/>
          <w:b/>
          <w:bCs/>
          <w:sz w:val="48"/>
          <w:szCs w:val="48"/>
        </w:rPr>
        <w:t xml:space="preserve">EASE </w:t>
      </w:r>
      <w:r w:rsidR="00C604B2">
        <w:rPr>
          <w:rFonts w:ascii="Arial" w:hAnsi="Arial" w:cs="Arial"/>
          <w:b/>
          <w:bCs/>
          <w:sz w:val="48"/>
          <w:szCs w:val="48"/>
        </w:rPr>
        <w:t xml:space="preserve">– CORA </w:t>
      </w:r>
    </w:p>
    <w:p w:rsidR="009B08F8" w:rsidRDefault="00E34D42" w:rsidP="00E34D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ASR </w:t>
      </w:r>
      <w:r w:rsidR="00C604B2">
        <w:rPr>
          <w:rFonts w:ascii="Arial" w:hAnsi="Arial" w:cs="Arial"/>
          <w:b/>
          <w:bCs/>
          <w:sz w:val="48"/>
          <w:szCs w:val="48"/>
        </w:rPr>
        <w:t>Order Differences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8"/>
          <w:szCs w:val="48"/>
        </w:rPr>
      </w:pP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Document Release Date: </w:t>
      </w:r>
      <w:r w:rsidR="003A2707">
        <w:rPr>
          <w:sz w:val="22"/>
          <w:szCs w:val="22"/>
        </w:rPr>
        <w:t>June</w:t>
      </w:r>
      <w:r w:rsidR="007F5B41">
        <w:rPr>
          <w:sz w:val="22"/>
          <w:szCs w:val="22"/>
        </w:rPr>
        <w:t xml:space="preserve"> 2016</w:t>
      </w:r>
    </w:p>
    <w:p w:rsidR="009B08F8" w:rsidRDefault="009B08F8" w:rsidP="009B08F8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  <w:sectPr w:rsidR="009B08F8" w:rsidSect="009B08F8">
          <w:pgSz w:w="12240" w:h="15840"/>
          <w:pgMar w:top="1440" w:right="1440" w:bottom="1440" w:left="1800" w:header="720" w:footer="720" w:gutter="0"/>
          <w:cols w:space="720"/>
          <w:noEndnote/>
        </w:sectPr>
      </w:pPr>
    </w:p>
    <w:p w:rsidR="009B08F8" w:rsidRDefault="009B08F8" w:rsidP="009B08F8">
      <w:pPr>
        <w:pStyle w:val="Heading1"/>
      </w:pPr>
      <w:r>
        <w:lastRenderedPageBreak/>
        <w:t xml:space="preserve">Version </w:t>
      </w:r>
    </w:p>
    <w:p w:rsidR="00701AC6" w:rsidRDefault="00701AC6" w:rsidP="00701AC6">
      <w:pPr>
        <w:pStyle w:val="Heading2"/>
        <w:widowControl w:val="0"/>
        <w:spacing w:before="0"/>
        <w:ind w:left="90" w:firstLine="0"/>
        <w:rPr>
          <w:color w:val="auto"/>
        </w:rPr>
      </w:pPr>
    </w:p>
    <w:p w:rsidR="00556B40" w:rsidRDefault="00556B40" w:rsidP="00701AC6">
      <w:pPr>
        <w:pStyle w:val="Heading2"/>
        <w:widowControl w:val="0"/>
        <w:spacing w:before="0"/>
        <w:ind w:left="90" w:firstLine="0"/>
        <w:rPr>
          <w:color w:val="auto"/>
        </w:rPr>
      </w:pPr>
      <w:r>
        <w:rPr>
          <w:color w:val="auto"/>
        </w:rPr>
        <w:t>Revision History</w:t>
      </w:r>
    </w:p>
    <w:p w:rsidR="00556B40" w:rsidRPr="00860C8D" w:rsidRDefault="00556B40" w:rsidP="00556B40">
      <w:pPr>
        <w:pStyle w:val="Heading2"/>
        <w:widowControl w:val="0"/>
        <w:spacing w:before="0"/>
        <w:ind w:left="720" w:firstLine="0"/>
        <w:rPr>
          <w:color w:val="auto"/>
        </w:rPr>
      </w:pPr>
    </w:p>
    <w:p w:rsidR="00556B40" w:rsidRPr="00860C8D" w:rsidRDefault="00556B40" w:rsidP="00556B40">
      <w:pPr>
        <w:pStyle w:val="Body"/>
        <w:keepNext/>
        <w:widowControl w:val="0"/>
        <w:spacing w:line="280" w:lineRule="atLeast"/>
        <w:ind w:left="720"/>
        <w:rPr>
          <w:color w:val="auto"/>
          <w:sz w:val="24"/>
        </w:rPr>
      </w:pPr>
      <w:r>
        <w:rPr>
          <w:color w:val="auto"/>
          <w:sz w:val="24"/>
        </w:rPr>
        <w:t>All versions of this document are listed in chronological order</w:t>
      </w:r>
      <w:r w:rsidRPr="00860C8D">
        <w:rPr>
          <w:color w:val="auto"/>
        </w:rPr>
        <w:t xml:space="preserve"> </w:t>
      </w: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9"/>
        <w:gridCol w:w="1684"/>
        <w:gridCol w:w="2777"/>
      </w:tblGrid>
      <w:tr w:rsidR="00556B40" w:rsidRPr="00860C8D" w:rsidTr="00556B40"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Version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 w:rsidRPr="00860C8D">
              <w:rPr>
                <w:color w:val="auto"/>
              </w:rPr>
              <w:t>Date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860C8D" w:rsidRDefault="00556B40" w:rsidP="00556B40">
            <w:pPr>
              <w:pStyle w:val="Tableheading"/>
              <w:widowControl w:val="0"/>
              <w:rPr>
                <w:color w:val="auto"/>
              </w:rPr>
            </w:pPr>
            <w:r>
              <w:rPr>
                <w:color w:val="auto"/>
              </w:rPr>
              <w:t>Description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7F5B41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 w:rsidRPr="007F5B41">
              <w:rPr>
                <w:color w:val="auto"/>
                <w:sz w:val="20"/>
              </w:rPr>
              <w:t>1</w:t>
            </w:r>
            <w:r w:rsidR="007B5606">
              <w:rPr>
                <w:color w:val="auto"/>
                <w:sz w:val="20"/>
              </w:rPr>
              <w:t>.</w:t>
            </w:r>
            <w:r w:rsidR="00D24A6C">
              <w:rPr>
                <w:color w:val="auto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3A2707" w:rsidP="007F5B41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6/27/16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Pr="007F5B41" w:rsidRDefault="00527FAA" w:rsidP="00B7199E">
            <w:pPr>
              <w:pStyle w:val="Tablebody"/>
              <w:widowControl w:val="0"/>
              <w:spacing w:line="280" w:lineRule="atLeast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Final</w:t>
            </w:r>
          </w:p>
        </w:tc>
      </w:tr>
      <w:tr w:rsidR="00556B40" w:rsidRPr="00860C8D" w:rsidTr="00556B40">
        <w:trPr>
          <w:trHeight w:val="318"/>
        </w:trPr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4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6B40" w:rsidRDefault="00556B40" w:rsidP="00556B40">
            <w:pPr>
              <w:pStyle w:val="Tablebody"/>
              <w:widowControl w:val="0"/>
              <w:spacing w:line="280" w:lineRule="atLeast"/>
              <w:rPr>
                <w:color w:val="auto"/>
                <w:sz w:val="22"/>
              </w:rPr>
            </w:pPr>
          </w:p>
        </w:tc>
      </w:tr>
    </w:tbl>
    <w:p w:rsidR="00CE42C8" w:rsidRDefault="00BA0336" w:rsidP="00556B40">
      <w:pPr>
        <w:autoSpaceDE w:val="0"/>
        <w:autoSpaceDN w:val="0"/>
        <w:adjustRightInd w:val="0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</w:p>
    <w:p w:rsidR="009B08F8" w:rsidRDefault="009B08F8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556B40" w:rsidRDefault="00556B40" w:rsidP="009B08F8">
      <w:pPr>
        <w:autoSpaceDE w:val="0"/>
        <w:autoSpaceDN w:val="0"/>
        <w:adjustRightInd w:val="0"/>
        <w:rPr>
          <w:sz w:val="23"/>
          <w:szCs w:val="23"/>
        </w:rPr>
      </w:pPr>
    </w:p>
    <w:p w:rsidR="003A2707" w:rsidRDefault="00E34D42" w:rsidP="003A2707">
      <w:pPr>
        <w:pStyle w:val="Heading1"/>
      </w:pPr>
      <w:bookmarkStart w:id="0" w:name="_Toc444783497"/>
      <w:r>
        <w:t>P</w:t>
      </w:r>
      <w:r w:rsidR="003A2707">
        <w:t>urpose</w:t>
      </w:r>
    </w:p>
    <w:p w:rsidR="003A2707" w:rsidRDefault="003A2707" w:rsidP="003A2707">
      <w:pPr>
        <w:rPr>
          <w:sz w:val="22"/>
          <w:szCs w:val="22"/>
        </w:rPr>
      </w:pPr>
    </w:p>
    <w:p w:rsidR="003A2707" w:rsidRPr="00033FB2" w:rsidRDefault="003A2707" w:rsidP="003A2707">
      <w:pPr>
        <w:rPr>
          <w:sz w:val="22"/>
          <w:szCs w:val="22"/>
        </w:rPr>
      </w:pPr>
      <w:r w:rsidRPr="00033FB2">
        <w:rPr>
          <w:sz w:val="22"/>
          <w:szCs w:val="22"/>
        </w:rPr>
        <w:t xml:space="preserve">The purpose of this document is to provide </w:t>
      </w:r>
      <w:r w:rsidR="008D6A91">
        <w:rPr>
          <w:sz w:val="22"/>
          <w:szCs w:val="22"/>
        </w:rPr>
        <w:t xml:space="preserve">customers with </w:t>
      </w:r>
      <w:r w:rsidRPr="00033FB2">
        <w:rPr>
          <w:sz w:val="22"/>
          <w:szCs w:val="22"/>
        </w:rPr>
        <w:t>a</w:t>
      </w:r>
      <w:r>
        <w:rPr>
          <w:sz w:val="22"/>
          <w:szCs w:val="22"/>
        </w:rPr>
        <w:t xml:space="preserve">ssistance in the </w:t>
      </w:r>
      <w:r w:rsidR="000A1824">
        <w:rPr>
          <w:sz w:val="22"/>
          <w:szCs w:val="22"/>
        </w:rPr>
        <w:t xml:space="preserve"> CORA – EASE </w:t>
      </w:r>
      <w:r>
        <w:rPr>
          <w:sz w:val="22"/>
          <w:szCs w:val="22"/>
        </w:rPr>
        <w:t xml:space="preserve"> </w:t>
      </w:r>
      <w:r w:rsidR="00E34D42">
        <w:rPr>
          <w:sz w:val="22"/>
          <w:szCs w:val="22"/>
        </w:rPr>
        <w:t>ASR Conversion</w:t>
      </w:r>
      <w:r w:rsidRPr="00033FB2">
        <w:rPr>
          <w:sz w:val="22"/>
          <w:szCs w:val="22"/>
        </w:rPr>
        <w:t xml:space="preserve"> process reflecting the order</w:t>
      </w:r>
      <w:r w:rsidR="000A1824">
        <w:rPr>
          <w:sz w:val="22"/>
          <w:szCs w:val="22"/>
        </w:rPr>
        <w:t>ing</w:t>
      </w:r>
      <w:r w:rsidR="00E34D42">
        <w:rPr>
          <w:sz w:val="22"/>
          <w:szCs w:val="22"/>
        </w:rPr>
        <w:t xml:space="preserve"> differences </w:t>
      </w:r>
      <w:r w:rsidR="008D6A91">
        <w:rPr>
          <w:sz w:val="22"/>
          <w:szCs w:val="22"/>
        </w:rPr>
        <w:t xml:space="preserve">between CORA and EASE, </w:t>
      </w:r>
      <w:r w:rsidRPr="00033FB2">
        <w:rPr>
          <w:sz w:val="22"/>
          <w:szCs w:val="22"/>
        </w:rPr>
        <w:t xml:space="preserve">including but </w:t>
      </w:r>
      <w:r w:rsidR="000A1824">
        <w:rPr>
          <w:sz w:val="22"/>
          <w:szCs w:val="22"/>
        </w:rPr>
        <w:t xml:space="preserve">not </w:t>
      </w:r>
      <w:r w:rsidRPr="00033FB2">
        <w:rPr>
          <w:sz w:val="22"/>
          <w:szCs w:val="22"/>
        </w:rPr>
        <w:t>limited</w:t>
      </w:r>
      <w:r w:rsidR="000A1824">
        <w:rPr>
          <w:sz w:val="22"/>
          <w:szCs w:val="22"/>
        </w:rPr>
        <w:t xml:space="preserve"> </w:t>
      </w:r>
      <w:r w:rsidRPr="00033FB2">
        <w:rPr>
          <w:sz w:val="22"/>
          <w:szCs w:val="22"/>
        </w:rPr>
        <w:t>to:</w:t>
      </w:r>
    </w:p>
    <w:p w:rsidR="003A2707" w:rsidRPr="00033FB2" w:rsidRDefault="003A2707" w:rsidP="003A2707">
      <w:pPr>
        <w:rPr>
          <w:sz w:val="22"/>
          <w:szCs w:val="22"/>
        </w:rPr>
      </w:pPr>
    </w:p>
    <w:p w:rsidR="00E34D42" w:rsidRPr="00033FB2" w:rsidRDefault="00E34D42" w:rsidP="003A2707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EASE Helpful Hints</w:t>
      </w:r>
    </w:p>
    <w:p w:rsidR="00E34D42" w:rsidRPr="00033FB2" w:rsidRDefault="00E34D42" w:rsidP="003A2707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A complete list of CenturyLink Custom BRMS rules:  </w:t>
      </w:r>
      <w:hyperlink r:id="rId9" w:history="1">
        <w:r w:rsidRPr="00A20C5C">
          <w:rPr>
            <w:rFonts w:ascii="Arial" w:hAnsi="Arial" w:cs="Arial"/>
            <w:color w:val="0000FF"/>
            <w:sz w:val="20"/>
            <w:szCs w:val="20"/>
          </w:rPr>
          <w:t>http://wwwcenturylinkcom/wholesale/systems/ossconsolidhtml</w:t>
        </w:r>
      </w:hyperlink>
    </w:p>
    <w:p w:rsidR="00E34D42" w:rsidRDefault="00E34D42">
      <w:pPr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:rsidR="003A2707" w:rsidRDefault="003A2707" w:rsidP="003A2707">
      <w:pPr>
        <w:pStyle w:val="Heading1"/>
      </w:pPr>
      <w:r>
        <w:lastRenderedPageBreak/>
        <w:t xml:space="preserve">EASE Helpful Hints </w:t>
      </w:r>
      <w:bookmarkEnd w:id="0"/>
    </w:p>
    <w:p w:rsidR="003A2707" w:rsidRDefault="003A2707" w:rsidP="003A2707">
      <w:pPr>
        <w:pStyle w:val="BodyText"/>
      </w:pP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Use CAPS LOCK on the keyboard when entering orders 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Dashes and spaces are not needed when entering telephone numbers</w:t>
      </w:r>
    </w:p>
    <w:p w:rsidR="003A2707" w:rsidRPr="008563AB" w:rsidRDefault="002D4E0B" w:rsidP="003A2707">
      <w:pPr>
        <w:pStyle w:val="BodyText"/>
        <w:numPr>
          <w:ilvl w:val="0"/>
          <w:numId w:val="7"/>
        </w:numPr>
        <w:rPr>
          <w:szCs w:val="24"/>
        </w:rPr>
      </w:pPr>
      <w:r>
        <w:rPr>
          <w:szCs w:val="24"/>
        </w:rPr>
        <w:t>E</w:t>
      </w:r>
      <w:r w:rsidR="003A2707" w:rsidRPr="008563AB">
        <w:rPr>
          <w:szCs w:val="24"/>
        </w:rPr>
        <w:t>nter “N” for New BAN, “E” for Existing BAN, or the BAN itself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Using Order Template for repetitive information such as Design / Engineering, Maintenance, and Implementation contact information builds an order more efficiently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The SALI information can be found at the bottom of the product specific form 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The user will manually enter information into the PI field on the SALI Form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The user will indicate the number of SALIs by entering the value into the QSA field 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State code is a manually entered on the SALI form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The user will manually enter the EVCNUM field on the EVC form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The user will manually populate the number of UREFs into the NUT field on the EVC form 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The LREF field will be manually populated by the user based on the number of level of service mapping configurations being requested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On the ACI form, the REFNUM field will begin with 0002 and increment sequentially for each additional ACI needed</w:t>
      </w:r>
    </w:p>
    <w:p w:rsidR="003A2707" w:rsidRPr="008563AB" w:rsidRDefault="003A2707" w:rsidP="003A2707">
      <w:pPr>
        <w:pStyle w:val="BodyText"/>
        <w:numPr>
          <w:ilvl w:val="0"/>
          <w:numId w:val="7"/>
        </w:numPr>
        <w:spacing w:after="0"/>
        <w:rPr>
          <w:szCs w:val="24"/>
        </w:rPr>
      </w:pPr>
      <w:r w:rsidRPr="008563AB">
        <w:rPr>
          <w:szCs w:val="24"/>
        </w:rPr>
        <w:t>On the ASR form, the user will manually enter Y in the correct position in the AFO field to obtain specific forms:</w:t>
      </w:r>
      <w:r w:rsidRPr="008563AB">
        <w:rPr>
          <w:szCs w:val="24"/>
        </w:rPr>
        <w:tab/>
      </w:r>
      <w:r w:rsidRPr="008563AB">
        <w:rPr>
          <w:szCs w:val="24"/>
        </w:rPr>
        <w:tab/>
      </w:r>
      <w:r w:rsidRPr="008563AB">
        <w:rPr>
          <w:szCs w:val="24"/>
        </w:rPr>
        <w:tab/>
        <w:t xml:space="preserve">  </w:t>
      </w:r>
    </w:p>
    <w:p w:rsidR="003A2707" w:rsidRPr="008563AB" w:rsidRDefault="003A2707" w:rsidP="003A2707">
      <w:pPr>
        <w:pStyle w:val="BodyText"/>
        <w:numPr>
          <w:ilvl w:val="1"/>
          <w:numId w:val="7"/>
        </w:numPr>
        <w:spacing w:after="0"/>
        <w:rPr>
          <w:szCs w:val="24"/>
        </w:rPr>
      </w:pPr>
      <w:r w:rsidRPr="008563AB">
        <w:rPr>
          <w:szCs w:val="24"/>
        </w:rPr>
        <w:t>1st position = ACI form</w:t>
      </w:r>
    </w:p>
    <w:p w:rsidR="003A2707" w:rsidRPr="008563AB" w:rsidRDefault="003A2707" w:rsidP="003A2707">
      <w:pPr>
        <w:pStyle w:val="BodyText"/>
        <w:numPr>
          <w:ilvl w:val="1"/>
          <w:numId w:val="7"/>
        </w:numPr>
        <w:spacing w:after="0"/>
        <w:rPr>
          <w:szCs w:val="24"/>
        </w:rPr>
      </w:pPr>
      <w:r w:rsidRPr="008563AB">
        <w:rPr>
          <w:szCs w:val="24"/>
        </w:rPr>
        <w:t>3rd position = NAI form</w:t>
      </w:r>
    </w:p>
    <w:p w:rsidR="003A2707" w:rsidRPr="008563AB" w:rsidRDefault="003A2707" w:rsidP="003A2707">
      <w:pPr>
        <w:pStyle w:val="BodyText"/>
        <w:numPr>
          <w:ilvl w:val="1"/>
          <w:numId w:val="7"/>
        </w:numPr>
        <w:spacing w:after="0"/>
        <w:rPr>
          <w:szCs w:val="24"/>
        </w:rPr>
      </w:pPr>
      <w:r w:rsidRPr="008563AB">
        <w:rPr>
          <w:szCs w:val="24"/>
        </w:rPr>
        <w:t>4th position = EOD form</w:t>
      </w:r>
    </w:p>
    <w:p w:rsidR="003A2707" w:rsidRPr="008563AB" w:rsidRDefault="003A2707" w:rsidP="003A2707">
      <w:pPr>
        <w:pStyle w:val="BodyText"/>
        <w:numPr>
          <w:ilvl w:val="1"/>
          <w:numId w:val="7"/>
        </w:numPr>
        <w:spacing w:after="0"/>
        <w:rPr>
          <w:szCs w:val="24"/>
        </w:rPr>
      </w:pPr>
      <w:r w:rsidRPr="008563AB">
        <w:rPr>
          <w:szCs w:val="24"/>
        </w:rPr>
        <w:t xml:space="preserve">5th position = VCAT form  </w:t>
      </w:r>
    </w:p>
    <w:p w:rsidR="003A2707" w:rsidRPr="008563AB" w:rsidRDefault="003A2707" w:rsidP="003A2707">
      <w:pPr>
        <w:pStyle w:val="BodyText"/>
        <w:spacing w:after="0"/>
        <w:ind w:left="1440"/>
        <w:rPr>
          <w:szCs w:val="24"/>
        </w:rPr>
      </w:pPr>
    </w:p>
    <w:p w:rsidR="003A2707" w:rsidRPr="008563AB" w:rsidRDefault="003A2707" w:rsidP="003A2707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On the ASR form, the user will manually enter the number of NAI forms into the QNAI field </w:t>
      </w:r>
    </w:p>
    <w:p w:rsidR="00556B40" w:rsidRPr="008563AB" w:rsidRDefault="003A2707" w:rsidP="009B08F8">
      <w:pPr>
        <w:pStyle w:val="BodyText"/>
        <w:numPr>
          <w:ilvl w:val="0"/>
          <w:numId w:val="7"/>
        </w:numPr>
        <w:autoSpaceDE w:val="0"/>
        <w:autoSpaceDN w:val="0"/>
        <w:adjustRightInd w:val="0"/>
        <w:rPr>
          <w:szCs w:val="24"/>
        </w:rPr>
      </w:pPr>
      <w:r w:rsidRPr="008563AB">
        <w:rPr>
          <w:szCs w:val="24"/>
        </w:rPr>
        <w:t>The user will manually enter the values into the TQ field on the ASR form</w:t>
      </w:r>
    </w:p>
    <w:p w:rsidR="00E34D42" w:rsidRPr="008563AB" w:rsidRDefault="00E34D42" w:rsidP="000A1824">
      <w:pPr>
        <w:pStyle w:val="BodyText"/>
        <w:numPr>
          <w:ilvl w:val="0"/>
          <w:numId w:val="7"/>
        </w:numPr>
        <w:rPr>
          <w:szCs w:val="24"/>
        </w:rPr>
      </w:pPr>
      <w:r w:rsidRPr="00314EE5">
        <w:rPr>
          <w:szCs w:val="24"/>
        </w:rPr>
        <w:t>When SPEC begins with EOC, the WACD1 field must be populated with the DS3 Circuit ID</w:t>
      </w:r>
    </w:p>
    <w:p w:rsidR="00E34D42" w:rsidRPr="007B5606" w:rsidRDefault="00E34D42" w:rsidP="000A1824">
      <w:pPr>
        <w:pStyle w:val="BodyText"/>
        <w:numPr>
          <w:ilvl w:val="0"/>
          <w:numId w:val="7"/>
        </w:numPr>
        <w:rPr>
          <w:szCs w:val="24"/>
        </w:rPr>
      </w:pPr>
      <w:r w:rsidRPr="007B5606">
        <w:rPr>
          <w:szCs w:val="24"/>
        </w:rPr>
        <w:lastRenderedPageBreak/>
        <w:t>The LA and LADATED fields must be populated when ACTL or RUID does not belong to the ordering customer</w:t>
      </w:r>
    </w:p>
    <w:p w:rsidR="00E34D42" w:rsidRPr="008563AB" w:rsidRDefault="00E34D42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OCNs customer</w:t>
      </w:r>
      <w:r w:rsidR="000A1824" w:rsidRPr="008563AB">
        <w:rPr>
          <w:szCs w:val="24"/>
        </w:rPr>
        <w:t>s</w:t>
      </w:r>
      <w:r w:rsidRPr="008563AB">
        <w:rPr>
          <w:szCs w:val="24"/>
        </w:rPr>
        <w:t xml:space="preserve"> will utilize the VTA field for their AQCB number 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ASC-EC and Multi-EC Forms are required of affiliate meet-point where there is a mixture of Legacy company ICSCs on the order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SECLOC cannot be SUPPED pre</w:t>
      </w:r>
      <w:r w:rsidR="007B5606">
        <w:rPr>
          <w:szCs w:val="24"/>
        </w:rPr>
        <w:t>-</w:t>
      </w:r>
      <w:r w:rsidRPr="008563AB">
        <w:rPr>
          <w:szCs w:val="24"/>
        </w:rPr>
        <w:t xml:space="preserve"> or post</w:t>
      </w:r>
      <w:r w:rsidR="007B5606">
        <w:rPr>
          <w:szCs w:val="24"/>
        </w:rPr>
        <w:t>-</w:t>
      </w:r>
      <w:r w:rsidRPr="008563AB">
        <w:rPr>
          <w:szCs w:val="24"/>
        </w:rPr>
        <w:t xml:space="preserve"> FOC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EVCID field cannot be </w:t>
      </w:r>
      <w:r w:rsidR="00096258" w:rsidRPr="008563AB">
        <w:rPr>
          <w:szCs w:val="24"/>
        </w:rPr>
        <w:t>SUPPED</w:t>
      </w:r>
      <w:r w:rsidRPr="008563AB">
        <w:rPr>
          <w:szCs w:val="24"/>
        </w:rPr>
        <w:t xml:space="preserve"> pre</w:t>
      </w:r>
      <w:r w:rsidR="007B5606">
        <w:rPr>
          <w:szCs w:val="24"/>
        </w:rPr>
        <w:t>-</w:t>
      </w:r>
      <w:r w:rsidRPr="008563AB">
        <w:rPr>
          <w:szCs w:val="24"/>
        </w:rPr>
        <w:t xml:space="preserve"> or post</w:t>
      </w:r>
      <w:r w:rsidR="007B5606">
        <w:rPr>
          <w:szCs w:val="24"/>
        </w:rPr>
        <w:t>-</w:t>
      </w:r>
      <w:r w:rsidRPr="008563AB">
        <w:rPr>
          <w:szCs w:val="24"/>
        </w:rPr>
        <w:t xml:space="preserve"> FOC</w:t>
      </w:r>
    </w:p>
    <w:p w:rsidR="002569EE" w:rsidRPr="008656FE" w:rsidRDefault="002569EE" w:rsidP="002569EE">
      <w:pPr>
        <w:pStyle w:val="BodyText"/>
        <w:numPr>
          <w:ilvl w:val="0"/>
          <w:numId w:val="7"/>
        </w:numPr>
        <w:rPr>
          <w:szCs w:val="24"/>
        </w:rPr>
      </w:pPr>
      <w:r w:rsidRPr="008656FE">
        <w:rPr>
          <w:szCs w:val="24"/>
        </w:rPr>
        <w:t>EASE will edit to ensure the correct ICSC code is used when initiating an order</w:t>
      </w:r>
    </w:p>
    <w:p w:rsidR="000A1824" w:rsidRPr="008563AB" w:rsidRDefault="00096258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CenturyLink</w:t>
      </w:r>
      <w:r w:rsidR="000A1824" w:rsidRPr="008563AB">
        <w:rPr>
          <w:szCs w:val="24"/>
        </w:rPr>
        <w:t xml:space="preserve"> will no longer require an order to be meet-point when there is a CFA and only the ACTL makes the order meet-point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Interstate circuits that cross state boundaries</w:t>
      </w:r>
      <w:r w:rsidR="00096258" w:rsidRPr="008563AB">
        <w:rPr>
          <w:szCs w:val="24"/>
        </w:rPr>
        <w:t xml:space="preserve">; </w:t>
      </w:r>
      <w:r w:rsidRPr="008563AB">
        <w:rPr>
          <w:szCs w:val="24"/>
        </w:rPr>
        <w:t>for example, WA and OR</w:t>
      </w:r>
      <w:r w:rsidR="00096258" w:rsidRPr="008563AB">
        <w:rPr>
          <w:szCs w:val="24"/>
        </w:rPr>
        <w:t xml:space="preserve">, </w:t>
      </w:r>
      <w:r w:rsidRPr="008563AB">
        <w:rPr>
          <w:szCs w:val="24"/>
        </w:rPr>
        <w:t xml:space="preserve">customers </w:t>
      </w:r>
      <w:r w:rsidR="00096258" w:rsidRPr="008563AB">
        <w:rPr>
          <w:szCs w:val="24"/>
        </w:rPr>
        <w:t>will use</w:t>
      </w:r>
      <w:r w:rsidRPr="008563AB">
        <w:rPr>
          <w:szCs w:val="24"/>
        </w:rPr>
        <w:t xml:space="preserve"> the ICSC that coincides with the SECLOC and billing will take place all in that state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The ICSC codes used on the order must coincide with the State the order is in rather than the LATA</w:t>
      </w:r>
      <w:r w:rsidR="00096258" w:rsidRPr="008563AB">
        <w:rPr>
          <w:szCs w:val="24"/>
        </w:rPr>
        <w:t xml:space="preserve">.  </w:t>
      </w:r>
      <w:r w:rsidRPr="008563AB">
        <w:rPr>
          <w:szCs w:val="24"/>
        </w:rPr>
        <w:t xml:space="preserve">If there are two states, use </w:t>
      </w:r>
      <w:r w:rsidR="00096258" w:rsidRPr="008563AB">
        <w:rPr>
          <w:szCs w:val="24"/>
        </w:rPr>
        <w:t xml:space="preserve">the </w:t>
      </w:r>
      <w:r w:rsidRPr="008563AB">
        <w:rPr>
          <w:szCs w:val="24"/>
        </w:rPr>
        <w:t xml:space="preserve">ICSC of </w:t>
      </w:r>
      <w:r w:rsidR="00096258" w:rsidRPr="008563AB">
        <w:rPr>
          <w:szCs w:val="24"/>
        </w:rPr>
        <w:t xml:space="preserve">the </w:t>
      </w:r>
      <w:r w:rsidRPr="008563AB">
        <w:rPr>
          <w:szCs w:val="24"/>
        </w:rPr>
        <w:t>SECLOC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Customers cannot change CCEA or SCCEA values on a SUP3 or SUP4</w:t>
      </w:r>
    </w:p>
    <w:p w:rsidR="000A1824" w:rsidRPr="008563AB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 xml:space="preserve">If ACTL/FACTL/MUXLOC are changing, customers must submit D/N rather than </w:t>
      </w:r>
      <w:r w:rsidR="007B5606">
        <w:rPr>
          <w:szCs w:val="24"/>
        </w:rPr>
        <w:t>C</w:t>
      </w:r>
    </w:p>
    <w:p w:rsidR="000A1824" w:rsidRDefault="000A1824" w:rsidP="000A1824">
      <w:pPr>
        <w:pStyle w:val="BodyText"/>
        <w:numPr>
          <w:ilvl w:val="0"/>
          <w:numId w:val="7"/>
        </w:numPr>
        <w:rPr>
          <w:szCs w:val="24"/>
        </w:rPr>
      </w:pPr>
      <w:r w:rsidRPr="008563AB">
        <w:rPr>
          <w:szCs w:val="24"/>
        </w:rPr>
        <w:t>On Wireless Type 1 orders customers should no longer populate the NC code with DINV</w:t>
      </w:r>
      <w:r w:rsidR="007B5606">
        <w:rPr>
          <w:szCs w:val="24"/>
        </w:rPr>
        <w:t xml:space="preserve">. </w:t>
      </w:r>
      <w:r w:rsidRPr="008563AB">
        <w:rPr>
          <w:szCs w:val="24"/>
        </w:rPr>
        <w:t xml:space="preserve"> </w:t>
      </w:r>
      <w:r w:rsidR="007B5606">
        <w:rPr>
          <w:szCs w:val="24"/>
        </w:rPr>
        <w:t xml:space="preserve">Customers </w:t>
      </w:r>
      <w:r w:rsidRPr="008563AB">
        <w:rPr>
          <w:szCs w:val="24"/>
        </w:rPr>
        <w:t>need to populate the ASR with the proper NC code for Wireless Type 1 which would be UD-- for Tr</w:t>
      </w:r>
      <w:r w:rsidR="007B5606">
        <w:rPr>
          <w:szCs w:val="24"/>
        </w:rPr>
        <w:t>unk Side or UC-- for Line Side.</w:t>
      </w:r>
    </w:p>
    <w:p w:rsidR="002569EE" w:rsidRDefault="002569EE" w:rsidP="002569EE">
      <w:pPr>
        <w:pStyle w:val="BodyText"/>
        <w:numPr>
          <w:ilvl w:val="0"/>
          <w:numId w:val="7"/>
        </w:numPr>
        <w:rPr>
          <w:szCs w:val="24"/>
        </w:rPr>
      </w:pPr>
      <w:r w:rsidRPr="00602767">
        <w:rPr>
          <w:szCs w:val="24"/>
        </w:rPr>
        <w:t>MOE - When RUIDs are in different states, the ICSC on the order should ma</w:t>
      </w:r>
      <w:r>
        <w:rPr>
          <w:szCs w:val="24"/>
        </w:rPr>
        <w:t>tch the state of the first RUID</w:t>
      </w:r>
    </w:p>
    <w:p w:rsidR="002569EE" w:rsidRPr="002569EE" w:rsidRDefault="002569EE" w:rsidP="002569EE">
      <w:pPr>
        <w:pStyle w:val="BodyText"/>
        <w:numPr>
          <w:ilvl w:val="0"/>
          <w:numId w:val="7"/>
        </w:numPr>
        <w:rPr>
          <w:szCs w:val="24"/>
        </w:rPr>
      </w:pPr>
      <w:r w:rsidRPr="002569EE">
        <w:rPr>
          <w:szCs w:val="24"/>
        </w:rPr>
        <w:t>Both the CFA and CCEA fields can no longer be populated on orders; additionally, the SCCEA cannot be populated when the SCFA is populated</w:t>
      </w:r>
    </w:p>
    <w:p w:rsidR="00E34D42" w:rsidRPr="00E34D42" w:rsidRDefault="00E34D42" w:rsidP="008D6A91">
      <w:pPr>
        <w:pStyle w:val="ListParagraph"/>
        <w:rPr>
          <w:rFonts w:ascii="Calibri" w:hAnsi="Calibri" w:cs="Calibri"/>
          <w:color w:val="000000"/>
          <w:sz w:val="22"/>
          <w:szCs w:val="22"/>
        </w:rPr>
      </w:pPr>
    </w:p>
    <w:p w:rsidR="00E34D42" w:rsidRPr="00E34D42" w:rsidRDefault="00E34D42" w:rsidP="00E34D42">
      <w:pPr>
        <w:pStyle w:val="BodyText"/>
        <w:autoSpaceDE w:val="0"/>
        <w:autoSpaceDN w:val="0"/>
        <w:adjustRightInd w:val="0"/>
        <w:ind w:left="720"/>
        <w:rPr>
          <w:color w:val="FF0000"/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701AC6" w:rsidRDefault="00701AC6" w:rsidP="00701AC6">
      <w:pPr>
        <w:autoSpaceDE w:val="0"/>
        <w:autoSpaceDN w:val="0"/>
        <w:adjustRightInd w:val="0"/>
        <w:rPr>
          <w:sz w:val="23"/>
          <w:szCs w:val="23"/>
        </w:rPr>
      </w:pPr>
    </w:p>
    <w:p w:rsidR="009B08F8" w:rsidRDefault="009B08F8" w:rsidP="00701AC6">
      <w:pPr>
        <w:autoSpaceDE w:val="0"/>
        <w:autoSpaceDN w:val="0"/>
        <w:adjustRightInd w:val="0"/>
        <w:rPr>
          <w:i/>
          <w:iCs/>
          <w:sz w:val="23"/>
          <w:szCs w:val="23"/>
        </w:rPr>
      </w:pPr>
    </w:p>
    <w:p w:rsidR="009B08F8" w:rsidRDefault="009B08F8" w:rsidP="009B08F8">
      <w:pPr>
        <w:autoSpaceDE w:val="0"/>
        <w:autoSpaceDN w:val="0"/>
        <w:adjustRightInd w:val="0"/>
        <w:rPr>
          <w:i/>
          <w:iCs/>
          <w:sz w:val="23"/>
          <w:szCs w:val="23"/>
        </w:rPr>
      </w:pPr>
    </w:p>
    <w:p w:rsidR="00185E14" w:rsidRDefault="009B08F8" w:rsidP="003A2707">
      <w:pPr>
        <w:pStyle w:val="Heading1"/>
        <w:rPr>
          <w:b w:val="0"/>
          <w:bCs w:val="0"/>
          <w:sz w:val="48"/>
          <w:szCs w:val="48"/>
        </w:rPr>
      </w:pPr>
      <w:r>
        <w:rPr>
          <w:sz w:val="48"/>
          <w:szCs w:val="48"/>
        </w:rPr>
        <w:br w:type="page"/>
      </w:r>
      <w:r w:rsidR="00185E14" w:rsidRPr="003A2707">
        <w:lastRenderedPageBreak/>
        <w:t>CenturyLink EASE – CORA ASR BRMS Rule Differences</w:t>
      </w:r>
    </w:p>
    <w:p w:rsidR="00391A6A" w:rsidRDefault="00391A6A" w:rsidP="00185E14">
      <w:pPr>
        <w:autoSpaceDE w:val="0"/>
        <w:autoSpaceDN w:val="0"/>
        <w:adjustRightInd w:val="0"/>
        <w:rPr>
          <w:rFonts w:ascii="Arial" w:hAnsi="Arial" w:cs="Arial"/>
          <w:b/>
          <w:bCs/>
          <w:sz w:val="48"/>
          <w:szCs w:val="48"/>
        </w:rPr>
      </w:pPr>
    </w:p>
    <w:p w:rsidR="00185E14" w:rsidRDefault="008F1BE9" w:rsidP="00185E14">
      <w:pPr>
        <w:autoSpaceDE w:val="0"/>
        <w:autoSpaceDN w:val="0"/>
        <w:adjustRightInd w:val="0"/>
        <w:spacing w:after="120"/>
        <w:ind w:left="360"/>
        <w:rPr>
          <w:sz w:val="23"/>
          <w:szCs w:val="23"/>
        </w:rPr>
      </w:pPr>
      <w:r w:rsidRPr="00185E14">
        <w:rPr>
          <w:sz w:val="23"/>
          <w:szCs w:val="23"/>
        </w:rPr>
        <w:t>CenturyLink</w:t>
      </w:r>
      <w:r w:rsidR="009B08F8" w:rsidRPr="00185E14">
        <w:rPr>
          <w:sz w:val="23"/>
          <w:szCs w:val="23"/>
        </w:rPr>
        <w:t xml:space="preserve"> </w:t>
      </w:r>
      <w:r w:rsidR="00185E14">
        <w:rPr>
          <w:sz w:val="23"/>
          <w:szCs w:val="23"/>
        </w:rPr>
        <w:t>is providing below the BRMS Rule Differences between EASE and CORA</w:t>
      </w:r>
    </w:p>
    <w:p w:rsidR="00185E14" w:rsidRDefault="00185E14" w:rsidP="00185E14">
      <w:pPr>
        <w:autoSpaceDE w:val="0"/>
        <w:autoSpaceDN w:val="0"/>
        <w:adjustRightInd w:val="0"/>
        <w:spacing w:after="120"/>
        <w:ind w:left="360"/>
        <w:rPr>
          <w:sz w:val="23"/>
          <w:szCs w:val="23"/>
        </w:rPr>
      </w:pPr>
    </w:p>
    <w:tbl>
      <w:tblPr>
        <w:tblStyle w:val="TableGrid"/>
        <w:tblW w:w="9810" w:type="dxa"/>
        <w:tblInd w:w="108" w:type="dxa"/>
        <w:tblLook w:val="04A0"/>
      </w:tblPr>
      <w:tblGrid>
        <w:gridCol w:w="1084"/>
        <w:gridCol w:w="1080"/>
        <w:gridCol w:w="986"/>
        <w:gridCol w:w="2700"/>
        <w:gridCol w:w="2430"/>
        <w:gridCol w:w="1530"/>
      </w:tblGrid>
      <w:tr w:rsidR="00601CC4" w:rsidTr="008D6A91">
        <w:tc>
          <w:tcPr>
            <w:tcW w:w="1084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Error Code</w:t>
            </w:r>
          </w:p>
        </w:tc>
        <w:tc>
          <w:tcPr>
            <w:tcW w:w="1080" w:type="dxa"/>
            <w:shd w:val="clear" w:color="auto" w:fill="EAF1DD" w:themeFill="accent3" w:themeFillTint="33"/>
            <w:vAlign w:val="center"/>
          </w:tcPr>
          <w:p w:rsidR="00601CC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986" w:type="dxa"/>
            <w:shd w:val="clear" w:color="auto" w:fill="EAF1DD" w:themeFill="accent3" w:themeFillTint="33"/>
            <w:vAlign w:val="center"/>
          </w:tcPr>
          <w:p w:rsidR="00601CC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270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Error Message</w:t>
            </w: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185E14">
              <w:rPr>
                <w:b/>
              </w:rPr>
              <w:t>EASE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185E14">
              <w:rPr>
                <w:b/>
              </w:rPr>
              <w:t>CORA</w:t>
            </w:r>
          </w:p>
        </w:tc>
      </w:tr>
      <w:tr w:rsidR="00601CC4" w:rsidTr="003A2707">
        <w:tc>
          <w:tcPr>
            <w:tcW w:w="1084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47573E">
              <w:rPr>
                <w:sz w:val="20"/>
                <w:szCs w:val="20"/>
              </w:rPr>
              <w:t>EQ284</w:t>
            </w:r>
          </w:p>
        </w:tc>
        <w:tc>
          <w:tcPr>
            <w:tcW w:w="108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</w:t>
            </w:r>
          </w:p>
        </w:tc>
        <w:tc>
          <w:tcPr>
            <w:tcW w:w="986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SECLOC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WHEN SCCEA IS POPULATED SECLOC MUST BE A CLLI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Industry Standard</w:t>
            </w:r>
            <w:r w:rsidR="002F54E1" w:rsidRPr="0021250F">
              <w:rPr>
                <w:sz w:val="20"/>
                <w:szCs w:val="20"/>
              </w:rPr>
              <w:t xml:space="preserve"> format to drive the ACTL from the SCCEA to be populated in the SECLOC field</w:t>
            </w:r>
          </w:p>
        </w:tc>
        <w:tc>
          <w:tcPr>
            <w:tcW w:w="153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601CC4" w:rsidTr="003A2707">
        <w:tc>
          <w:tcPr>
            <w:tcW w:w="1084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EQ295</w:t>
            </w:r>
          </w:p>
        </w:tc>
        <w:tc>
          <w:tcPr>
            <w:tcW w:w="108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</w:t>
            </w:r>
          </w:p>
        </w:tc>
        <w:tc>
          <w:tcPr>
            <w:tcW w:w="986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SECLOC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SECLOC CLLI MUST BE 11 CHARACATERS WHEN THE 1ST POSITION = C AND THE SCCEA IS POPULATED</w:t>
            </w:r>
          </w:p>
        </w:tc>
        <w:tc>
          <w:tcPr>
            <w:tcW w:w="2430" w:type="dxa"/>
            <w:vAlign w:val="center"/>
          </w:tcPr>
          <w:p w:rsidR="00601CC4" w:rsidRPr="0021250F" w:rsidRDefault="009D739A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SECLOC field value with SCCEA should be C+ the ACTL of the SCCEA to drive the correct provisioning and billing of the circuit</w:t>
            </w:r>
          </w:p>
        </w:tc>
        <w:tc>
          <w:tcPr>
            <w:tcW w:w="1530" w:type="dxa"/>
            <w:vAlign w:val="center"/>
          </w:tcPr>
          <w:p w:rsidR="00601CC4" w:rsidRPr="00185E1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601CC4" w:rsidTr="003A2707">
        <w:tc>
          <w:tcPr>
            <w:tcW w:w="1084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EQ697</w:t>
            </w:r>
          </w:p>
        </w:tc>
        <w:tc>
          <w:tcPr>
            <w:tcW w:w="108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EVC</w:t>
            </w:r>
          </w:p>
        </w:tc>
        <w:tc>
          <w:tcPr>
            <w:tcW w:w="986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LOS VALID VALUES OF BEST EFFORT DEFAULT REAL TIME GUARANTEED DATA BUSINESS CLASS EVCPM P1 OR TEMPLATE- ON LQ PONS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System Enforced</w:t>
            </w:r>
          </w:p>
        </w:tc>
        <w:tc>
          <w:tcPr>
            <w:tcW w:w="1530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Enforced</w:t>
            </w:r>
          </w:p>
        </w:tc>
      </w:tr>
      <w:tr w:rsidR="00601CC4" w:rsidTr="003A2707">
        <w:tc>
          <w:tcPr>
            <w:tcW w:w="1084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EQ88</w:t>
            </w:r>
          </w:p>
        </w:tc>
        <w:tc>
          <w:tcPr>
            <w:tcW w:w="108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TRUNK</w:t>
            </w:r>
          </w:p>
        </w:tc>
        <w:tc>
          <w:tcPr>
            <w:tcW w:w="986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HBAN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HBAN IS REQUIRED WHEN LTP (1) IS B,C,D,E,L, OR M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Population of the HBAN field ensures that the higher facility gets billed on the correct account</w:t>
            </w:r>
          </w:p>
        </w:tc>
        <w:tc>
          <w:tcPr>
            <w:tcW w:w="153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Edit</w:t>
            </w:r>
          </w:p>
        </w:tc>
      </w:tr>
      <w:tr w:rsidR="00601CC4" w:rsidTr="003A2707">
        <w:tc>
          <w:tcPr>
            <w:tcW w:w="1084" w:type="dxa"/>
            <w:vAlign w:val="center"/>
          </w:tcPr>
          <w:p w:rsidR="00601CC4" w:rsidRPr="00185E1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185E14">
              <w:rPr>
                <w:sz w:val="20"/>
                <w:szCs w:val="20"/>
              </w:rPr>
              <w:t>EQWS284</w:t>
            </w:r>
          </w:p>
        </w:tc>
        <w:tc>
          <w:tcPr>
            <w:tcW w:w="1080" w:type="dxa"/>
            <w:vAlign w:val="center"/>
          </w:tcPr>
          <w:p w:rsidR="00601CC4" w:rsidRPr="00185E1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EVC</w:t>
            </w:r>
          </w:p>
        </w:tc>
        <w:tc>
          <w:tcPr>
            <w:tcW w:w="986" w:type="dxa"/>
            <w:vAlign w:val="center"/>
          </w:tcPr>
          <w:p w:rsidR="00601CC4" w:rsidRPr="00185E1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EVCSP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EVCSP MUST BE A CATEGORY "ETHERNET"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 xml:space="preserve">The Ethernet </w:t>
            </w:r>
            <w:r w:rsidR="009D739A" w:rsidRPr="0021250F">
              <w:rPr>
                <w:sz w:val="20"/>
                <w:szCs w:val="20"/>
              </w:rPr>
              <w:t xml:space="preserve">Device </w:t>
            </w:r>
            <w:r w:rsidRPr="0021250F">
              <w:rPr>
                <w:sz w:val="20"/>
                <w:szCs w:val="20"/>
              </w:rPr>
              <w:t>CLLI code associated to the RUID must be populated in the EVCSP field to ensure no rejections</w:t>
            </w:r>
          </w:p>
        </w:tc>
        <w:tc>
          <w:tcPr>
            <w:tcW w:w="1530" w:type="dxa"/>
            <w:vAlign w:val="center"/>
          </w:tcPr>
          <w:p w:rsidR="00601CC4" w:rsidRPr="00185E1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185E14">
              <w:rPr>
                <w:sz w:val="20"/>
                <w:szCs w:val="20"/>
              </w:rPr>
              <w:t>Soft Edit</w:t>
            </w:r>
          </w:p>
        </w:tc>
      </w:tr>
    </w:tbl>
    <w:p w:rsidR="00601CC4" w:rsidRDefault="00601CC4">
      <w:r>
        <w:br w:type="page"/>
      </w:r>
    </w:p>
    <w:tbl>
      <w:tblPr>
        <w:tblStyle w:val="TableGrid"/>
        <w:tblW w:w="9810" w:type="dxa"/>
        <w:tblInd w:w="108" w:type="dxa"/>
        <w:tblLook w:val="04A0"/>
      </w:tblPr>
      <w:tblGrid>
        <w:gridCol w:w="1083"/>
        <w:gridCol w:w="1077"/>
        <w:gridCol w:w="990"/>
        <w:gridCol w:w="2700"/>
        <w:gridCol w:w="2430"/>
        <w:gridCol w:w="1530"/>
      </w:tblGrid>
      <w:tr w:rsidR="00601CC4" w:rsidRPr="00185E14" w:rsidTr="008D6A91">
        <w:tc>
          <w:tcPr>
            <w:tcW w:w="1083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lastRenderedPageBreak/>
              <w:t>Error Code</w:t>
            </w:r>
          </w:p>
        </w:tc>
        <w:tc>
          <w:tcPr>
            <w:tcW w:w="1077" w:type="dxa"/>
            <w:shd w:val="clear" w:color="auto" w:fill="EAF1DD" w:themeFill="accent3" w:themeFillTint="33"/>
            <w:vAlign w:val="center"/>
          </w:tcPr>
          <w:p w:rsidR="00601CC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990" w:type="dxa"/>
            <w:shd w:val="clear" w:color="auto" w:fill="EAF1DD" w:themeFill="accent3" w:themeFillTint="33"/>
            <w:vAlign w:val="center"/>
          </w:tcPr>
          <w:p w:rsidR="00601CC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270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Error Message</w:t>
            </w:r>
          </w:p>
        </w:tc>
        <w:tc>
          <w:tcPr>
            <w:tcW w:w="243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185E14">
              <w:rPr>
                <w:b/>
              </w:rPr>
              <w:t>EASE</w:t>
            </w:r>
          </w:p>
        </w:tc>
        <w:tc>
          <w:tcPr>
            <w:tcW w:w="1530" w:type="dxa"/>
            <w:shd w:val="clear" w:color="auto" w:fill="EAF1DD" w:themeFill="accent3" w:themeFillTint="33"/>
            <w:vAlign w:val="center"/>
          </w:tcPr>
          <w:p w:rsidR="00601CC4" w:rsidRPr="00185E14" w:rsidRDefault="00601CC4" w:rsidP="008D6A91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185E14">
              <w:rPr>
                <w:b/>
              </w:rPr>
              <w:t>CORA</w:t>
            </w:r>
          </w:p>
        </w:tc>
      </w:tr>
      <w:tr w:rsidR="00601CC4" w:rsidTr="003A2707">
        <w:tc>
          <w:tcPr>
            <w:tcW w:w="1083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EQWS303</w:t>
            </w:r>
          </w:p>
        </w:tc>
        <w:tc>
          <w:tcPr>
            <w:tcW w:w="1077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SES</w:t>
            </w:r>
          </w:p>
        </w:tc>
        <w:tc>
          <w:tcPr>
            <w:tcW w:w="99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ESP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SES ESP MUST BE A CATEGORY "ETHERNET"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Industry Standard</w:t>
            </w:r>
            <w:r w:rsidR="009D739A" w:rsidRPr="0021250F">
              <w:rPr>
                <w:sz w:val="20"/>
                <w:szCs w:val="20"/>
              </w:rPr>
              <w:t xml:space="preserve"> value for the ESP field is the Ethernet Device CLLI</w:t>
            </w:r>
          </w:p>
        </w:tc>
        <w:tc>
          <w:tcPr>
            <w:tcW w:w="153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601CC4" w:rsidTr="003A2707">
        <w:tc>
          <w:tcPr>
            <w:tcW w:w="1083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EQ697</w:t>
            </w:r>
          </w:p>
        </w:tc>
        <w:tc>
          <w:tcPr>
            <w:tcW w:w="1077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EVC</w:t>
            </w:r>
          </w:p>
        </w:tc>
        <w:tc>
          <w:tcPr>
            <w:tcW w:w="99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LOS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LOS VALID VALUES OF BEST EFFORT DEFAULT REAL TIME GUARANTEED DATA BUSINESS CLASS EVCPM P1 OR TEMPLATE- ON LQ PONS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System Enforced</w:t>
            </w:r>
          </w:p>
        </w:tc>
        <w:tc>
          <w:tcPr>
            <w:tcW w:w="1530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Enforced</w:t>
            </w:r>
          </w:p>
        </w:tc>
      </w:tr>
      <w:tr w:rsidR="00601CC4" w:rsidTr="003A2707">
        <w:tc>
          <w:tcPr>
            <w:tcW w:w="1083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6166</w:t>
            </w:r>
          </w:p>
        </w:tc>
        <w:tc>
          <w:tcPr>
            <w:tcW w:w="1077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ADMIN</w:t>
            </w:r>
          </w:p>
        </w:tc>
        <w:tc>
          <w:tcPr>
            <w:tcW w:w="99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TQ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THE ASR:TQ FIELD IS PROHIBITED UNLESS (THE FIRST POSITION OF THE ASR:RQTYP FIELD IS 'M' AND THE ASR:ACT FIELD IS 'N' AND THE ASR:ACTI FIELD IS 'B' OR</w:t>
            </w:r>
            <w:r w:rsidR="009D739A" w:rsidRPr="0021250F">
              <w:rPr>
                <w:sz w:val="20"/>
                <w:szCs w:val="20"/>
              </w:rPr>
              <w:t xml:space="preserve"> C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Industry Standard</w:t>
            </w:r>
          </w:p>
        </w:tc>
        <w:tc>
          <w:tcPr>
            <w:tcW w:w="1530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601CC4" w:rsidTr="003A2707">
        <w:tc>
          <w:tcPr>
            <w:tcW w:w="1083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5524</w:t>
            </w:r>
          </w:p>
        </w:tc>
        <w:tc>
          <w:tcPr>
            <w:tcW w:w="1077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TRUNK</w:t>
            </w:r>
          </w:p>
        </w:tc>
        <w:tc>
          <w:tcPr>
            <w:tcW w:w="99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CSL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THE TRUNK:CSL FIELD IS REQUIRED WHEN THE TRUNK:TCIC FIELD IS POPULATED AND THE ASR:ACT FIELD IS 'N'</w:t>
            </w:r>
          </w:p>
        </w:tc>
        <w:tc>
          <w:tcPr>
            <w:tcW w:w="243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Industry Standard</w:t>
            </w:r>
          </w:p>
        </w:tc>
        <w:tc>
          <w:tcPr>
            <w:tcW w:w="1530" w:type="dxa"/>
            <w:vAlign w:val="center"/>
          </w:tcPr>
          <w:p w:rsidR="00601CC4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  <w:tr w:rsidR="00601CC4" w:rsidTr="003A2707">
        <w:trPr>
          <w:trHeight w:val="2159"/>
        </w:trPr>
        <w:tc>
          <w:tcPr>
            <w:tcW w:w="1083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3156</w:t>
            </w:r>
          </w:p>
        </w:tc>
        <w:tc>
          <w:tcPr>
            <w:tcW w:w="1077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TRUNK</w:t>
            </w:r>
          </w:p>
        </w:tc>
        <w:tc>
          <w:tcPr>
            <w:tcW w:w="99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HBAN</w:t>
            </w:r>
          </w:p>
        </w:tc>
        <w:tc>
          <w:tcPr>
            <w:tcW w:w="2700" w:type="dxa"/>
            <w:vAlign w:val="center"/>
          </w:tcPr>
          <w:p w:rsidR="00601CC4" w:rsidRPr="0021250F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>THE TRUNK:HBAN FIELD IS REQUIRED WHEN (THE ASR:UNE FIELD IS NOT POPULATED), AND (THE ASR:ACT FIELD IS 'N') AND (THE ASR:LTP (1) FIELD IS 'B', 'D', 'E'</w:t>
            </w:r>
          </w:p>
        </w:tc>
        <w:tc>
          <w:tcPr>
            <w:tcW w:w="2430" w:type="dxa"/>
            <w:vAlign w:val="center"/>
          </w:tcPr>
          <w:p w:rsidR="00601CC4" w:rsidRPr="0021250F" w:rsidRDefault="002F54E1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21250F">
              <w:rPr>
                <w:sz w:val="20"/>
                <w:szCs w:val="20"/>
              </w:rPr>
              <w:t xml:space="preserve">Industry Standard - </w:t>
            </w:r>
            <w:r w:rsidR="00601CC4" w:rsidRPr="0021250F">
              <w:rPr>
                <w:sz w:val="20"/>
                <w:szCs w:val="20"/>
              </w:rPr>
              <w:t xml:space="preserve">Population of the HBAN field ensures the higher facility gets billed on the correct account  </w:t>
            </w:r>
          </w:p>
        </w:tc>
        <w:tc>
          <w:tcPr>
            <w:tcW w:w="1530" w:type="dxa"/>
            <w:vAlign w:val="center"/>
          </w:tcPr>
          <w:p w:rsidR="00601CC4" w:rsidRPr="0047573E" w:rsidRDefault="00601CC4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 Edit</w:t>
            </w:r>
          </w:p>
        </w:tc>
      </w:tr>
      <w:tr w:rsidR="003A2707" w:rsidTr="003A2707">
        <w:trPr>
          <w:trHeight w:val="2159"/>
        </w:trPr>
        <w:tc>
          <w:tcPr>
            <w:tcW w:w="1083" w:type="dxa"/>
            <w:vAlign w:val="center"/>
          </w:tcPr>
          <w:p w:rsidR="003A2707" w:rsidRPr="0021250F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TR10</w:t>
            </w:r>
          </w:p>
        </w:tc>
        <w:tc>
          <w:tcPr>
            <w:tcW w:w="1077" w:type="dxa"/>
            <w:vAlign w:val="center"/>
          </w:tcPr>
          <w:p w:rsidR="003A2707" w:rsidRPr="0021250F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TRUNK</w:t>
            </w:r>
          </w:p>
        </w:tc>
        <w:tc>
          <w:tcPr>
            <w:tcW w:w="990" w:type="dxa"/>
            <w:vAlign w:val="center"/>
          </w:tcPr>
          <w:p w:rsidR="003A2707" w:rsidRPr="0021250F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QACI</w:t>
            </w:r>
          </w:p>
        </w:tc>
        <w:tc>
          <w:tcPr>
            <w:tcW w:w="2700" w:type="dxa"/>
            <w:vAlign w:val="center"/>
          </w:tcPr>
          <w:p w:rsidR="003A2707" w:rsidRPr="0021250F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E857BC">
              <w:rPr>
                <w:sz w:val="20"/>
                <w:szCs w:val="20"/>
              </w:rPr>
              <w:t>THE TRUNK:QACI FIELD MUST EQUAL THE TOTAL NUMBER OF ACI CIRCUIT DETAIL SECTIONS WHEN ORDERING SWITCHED SERVICES</w:t>
            </w:r>
          </w:p>
        </w:tc>
        <w:tc>
          <w:tcPr>
            <w:tcW w:w="2430" w:type="dxa"/>
            <w:vAlign w:val="center"/>
          </w:tcPr>
          <w:p w:rsidR="003A2707" w:rsidRPr="0021250F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Industry Standard</w:t>
            </w:r>
          </w:p>
        </w:tc>
        <w:tc>
          <w:tcPr>
            <w:tcW w:w="1530" w:type="dxa"/>
            <w:vAlign w:val="center"/>
          </w:tcPr>
          <w:p w:rsidR="003A2707" w:rsidRDefault="003A2707" w:rsidP="003A2707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</w:tr>
    </w:tbl>
    <w:p w:rsidR="009B08F8" w:rsidRDefault="009B08F8" w:rsidP="00601CC4"/>
    <w:p w:rsidR="00E34D42" w:rsidRDefault="00E34D42" w:rsidP="00601CC4"/>
    <w:sectPr w:rsidR="00E34D42" w:rsidSect="009B08F8">
      <w:headerReference w:type="default" r:id="rId10"/>
      <w:footerReference w:type="default" r:id="rId11"/>
      <w:pgSz w:w="12240" w:h="15840"/>
      <w:pgMar w:top="1440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70" w:rsidRDefault="00625C70">
      <w:r>
        <w:separator/>
      </w:r>
    </w:p>
  </w:endnote>
  <w:endnote w:type="continuationSeparator" w:id="0">
    <w:p w:rsidR="00625C70" w:rsidRDefault="0062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40" w:rsidRDefault="007F1A4B">
    <w:pPr>
      <w:pStyle w:val="Footer"/>
      <w:jc w:val="right"/>
    </w:pPr>
    <w:fldSimple w:instr=" PAGE   \* MERGEFORMAT ">
      <w:r w:rsidR="002569EE">
        <w:rPr>
          <w:noProof/>
        </w:rPr>
        <w:t>2</w:t>
      </w:r>
    </w:fldSimple>
  </w:p>
  <w:p w:rsidR="00556B40" w:rsidRDefault="00556B40" w:rsidP="00821329">
    <w:pPr>
      <w:pStyle w:val="Footer"/>
      <w:tabs>
        <w:tab w:val="clear" w:pos="4320"/>
        <w:tab w:val="clear" w:pos="8640"/>
        <w:tab w:val="center" w:pos="6480"/>
      </w:tabs>
      <w:ind w:right="360"/>
      <w:rPr>
        <w:noProof/>
        <w:sz w:val="20"/>
      </w:rPr>
    </w:pPr>
    <w:r>
      <w:rPr>
        <w:noProof/>
        <w:sz w:val="20"/>
      </w:rPr>
      <w:t xml:space="preserve">Document </w:t>
    </w:r>
    <w:r w:rsidRPr="00197F6C">
      <w:rPr>
        <w:noProof/>
        <w:sz w:val="20"/>
        <w:szCs w:val="20"/>
      </w:rPr>
      <w:t xml:space="preserve">Release </w:t>
    </w:r>
    <w:r w:rsidR="003A2707">
      <w:rPr>
        <w:sz w:val="20"/>
        <w:szCs w:val="20"/>
      </w:rPr>
      <w:t>June</w:t>
    </w:r>
    <w:r w:rsidR="007F5B41">
      <w:rPr>
        <w:sz w:val="20"/>
        <w:szCs w:val="20"/>
      </w:rPr>
      <w:t xml:space="preserve"> 2016</w:t>
    </w:r>
  </w:p>
  <w:p w:rsidR="00556B40" w:rsidRPr="00821329" w:rsidRDefault="00556B40" w:rsidP="008213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70" w:rsidRDefault="00625C70">
      <w:r>
        <w:separator/>
      </w:r>
    </w:p>
  </w:footnote>
  <w:footnote w:type="continuationSeparator" w:id="0">
    <w:p w:rsidR="00625C70" w:rsidRDefault="00625C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B40" w:rsidRDefault="00556B40" w:rsidP="009B08F8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 xml:space="preserve">CenturyLink </w:t>
    </w:r>
    <w:r w:rsidR="00185E14">
      <w:rPr>
        <w:rFonts w:ascii="Arial" w:hAnsi="Arial" w:cs="Arial"/>
        <w:sz w:val="18"/>
        <w:szCs w:val="18"/>
      </w:rPr>
      <w:t>EASE</w:t>
    </w:r>
    <w:r w:rsidR="00E34D42">
      <w:rPr>
        <w:rFonts w:ascii="Arial" w:hAnsi="Arial" w:cs="Arial"/>
        <w:sz w:val="18"/>
        <w:szCs w:val="18"/>
      </w:rPr>
      <w:t xml:space="preserve"> </w:t>
    </w:r>
    <w:r w:rsidR="008D6A91">
      <w:rPr>
        <w:rFonts w:ascii="Arial" w:hAnsi="Arial" w:cs="Arial"/>
        <w:sz w:val="18"/>
        <w:szCs w:val="18"/>
      </w:rPr>
      <w:t xml:space="preserve">– CORA </w:t>
    </w:r>
    <w:r w:rsidR="00E34D42">
      <w:rPr>
        <w:rFonts w:ascii="Arial" w:hAnsi="Arial" w:cs="Arial"/>
        <w:sz w:val="18"/>
        <w:szCs w:val="18"/>
      </w:rPr>
      <w:t xml:space="preserve">ASR </w:t>
    </w:r>
    <w:r w:rsidR="008D6A91">
      <w:rPr>
        <w:rFonts w:ascii="Arial" w:hAnsi="Arial" w:cs="Arial"/>
        <w:sz w:val="18"/>
        <w:szCs w:val="18"/>
      </w:rPr>
      <w:t>Order Differences</w:t>
    </w:r>
  </w:p>
  <w:p w:rsidR="00556B40" w:rsidRDefault="00556B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A5A"/>
    <w:multiLevelType w:val="hybridMultilevel"/>
    <w:tmpl w:val="64382C54"/>
    <w:lvl w:ilvl="0" w:tplc="FA505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010F15"/>
    <w:multiLevelType w:val="hybridMultilevel"/>
    <w:tmpl w:val="065897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F2359"/>
    <w:multiLevelType w:val="hybridMultilevel"/>
    <w:tmpl w:val="709CB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926B8E"/>
    <w:multiLevelType w:val="hybridMultilevel"/>
    <w:tmpl w:val="5CE65508"/>
    <w:lvl w:ilvl="0" w:tplc="176264E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D54F7"/>
    <w:multiLevelType w:val="hybridMultilevel"/>
    <w:tmpl w:val="97FAF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0063E2"/>
    <w:multiLevelType w:val="hybridMultilevel"/>
    <w:tmpl w:val="4F52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74002"/>
    <w:multiLevelType w:val="hybridMultilevel"/>
    <w:tmpl w:val="A3AA5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032DFD"/>
    <w:multiLevelType w:val="hybridMultilevel"/>
    <w:tmpl w:val="E06635BC"/>
    <w:lvl w:ilvl="0" w:tplc="04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9525EE2"/>
    <w:multiLevelType w:val="hybridMultilevel"/>
    <w:tmpl w:val="A9129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06088"/>
    <w:multiLevelType w:val="hybridMultilevel"/>
    <w:tmpl w:val="262A5BEA"/>
    <w:lvl w:ilvl="0" w:tplc="BC022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9B08F8"/>
    <w:rsid w:val="00001089"/>
    <w:rsid w:val="000439BD"/>
    <w:rsid w:val="00067E28"/>
    <w:rsid w:val="00072099"/>
    <w:rsid w:val="00075E17"/>
    <w:rsid w:val="00087515"/>
    <w:rsid w:val="00096258"/>
    <w:rsid w:val="000A1824"/>
    <w:rsid w:val="000A72F7"/>
    <w:rsid w:val="000B0117"/>
    <w:rsid w:val="000D6BBD"/>
    <w:rsid w:val="000F3F50"/>
    <w:rsid w:val="001016E7"/>
    <w:rsid w:val="00104FD8"/>
    <w:rsid w:val="00113FE1"/>
    <w:rsid w:val="0011539A"/>
    <w:rsid w:val="00115599"/>
    <w:rsid w:val="001230CF"/>
    <w:rsid w:val="00185E14"/>
    <w:rsid w:val="00197F6C"/>
    <w:rsid w:val="001A1116"/>
    <w:rsid w:val="001D49D8"/>
    <w:rsid w:val="001D7AD5"/>
    <w:rsid w:val="00205B7F"/>
    <w:rsid w:val="0021250F"/>
    <w:rsid w:val="00227520"/>
    <w:rsid w:val="00231C65"/>
    <w:rsid w:val="00242807"/>
    <w:rsid w:val="002569EE"/>
    <w:rsid w:val="00262208"/>
    <w:rsid w:val="00270FCA"/>
    <w:rsid w:val="00276F3C"/>
    <w:rsid w:val="00285A73"/>
    <w:rsid w:val="002A5FCB"/>
    <w:rsid w:val="002C429E"/>
    <w:rsid w:val="002D0AE5"/>
    <w:rsid w:val="002D3DBC"/>
    <w:rsid w:val="002D4E0B"/>
    <w:rsid w:val="002E338D"/>
    <w:rsid w:val="002E347D"/>
    <w:rsid w:val="002F54E1"/>
    <w:rsid w:val="002F6467"/>
    <w:rsid w:val="00314EE5"/>
    <w:rsid w:val="003447F6"/>
    <w:rsid w:val="00370945"/>
    <w:rsid w:val="00385B7D"/>
    <w:rsid w:val="00391A6A"/>
    <w:rsid w:val="003A2707"/>
    <w:rsid w:val="003B7411"/>
    <w:rsid w:val="003C212A"/>
    <w:rsid w:val="003C79BE"/>
    <w:rsid w:val="003E14E2"/>
    <w:rsid w:val="003F7256"/>
    <w:rsid w:val="004010E8"/>
    <w:rsid w:val="0045234C"/>
    <w:rsid w:val="00453D0B"/>
    <w:rsid w:val="00462252"/>
    <w:rsid w:val="0047573E"/>
    <w:rsid w:val="00496782"/>
    <w:rsid w:val="004B1A45"/>
    <w:rsid w:val="004F2E54"/>
    <w:rsid w:val="005075E2"/>
    <w:rsid w:val="00527FAA"/>
    <w:rsid w:val="00530EF2"/>
    <w:rsid w:val="00556B40"/>
    <w:rsid w:val="00557F67"/>
    <w:rsid w:val="00565435"/>
    <w:rsid w:val="005A11D3"/>
    <w:rsid w:val="005C1CF9"/>
    <w:rsid w:val="005C561B"/>
    <w:rsid w:val="005C6343"/>
    <w:rsid w:val="005D5827"/>
    <w:rsid w:val="005F16DC"/>
    <w:rsid w:val="005F3B5C"/>
    <w:rsid w:val="00601CC4"/>
    <w:rsid w:val="00625C70"/>
    <w:rsid w:val="00677EC2"/>
    <w:rsid w:val="006933A7"/>
    <w:rsid w:val="006A64AE"/>
    <w:rsid w:val="006B632C"/>
    <w:rsid w:val="006D295C"/>
    <w:rsid w:val="00701AC6"/>
    <w:rsid w:val="00711BEE"/>
    <w:rsid w:val="00715856"/>
    <w:rsid w:val="007216C5"/>
    <w:rsid w:val="00732BC2"/>
    <w:rsid w:val="007579A0"/>
    <w:rsid w:val="007B0CC1"/>
    <w:rsid w:val="007B5606"/>
    <w:rsid w:val="007E3EB4"/>
    <w:rsid w:val="007F052A"/>
    <w:rsid w:val="007F1A4B"/>
    <w:rsid w:val="007F5B41"/>
    <w:rsid w:val="007F7442"/>
    <w:rsid w:val="00821329"/>
    <w:rsid w:val="008262F5"/>
    <w:rsid w:val="00836F82"/>
    <w:rsid w:val="008563AB"/>
    <w:rsid w:val="00874D79"/>
    <w:rsid w:val="00883709"/>
    <w:rsid w:val="00897299"/>
    <w:rsid w:val="008A2B83"/>
    <w:rsid w:val="008A61BB"/>
    <w:rsid w:val="008D4B93"/>
    <w:rsid w:val="008D6A91"/>
    <w:rsid w:val="008F1BE9"/>
    <w:rsid w:val="00913013"/>
    <w:rsid w:val="00967920"/>
    <w:rsid w:val="009812AA"/>
    <w:rsid w:val="009833A9"/>
    <w:rsid w:val="009A09B7"/>
    <w:rsid w:val="009B08F8"/>
    <w:rsid w:val="009B76F4"/>
    <w:rsid w:val="009D1853"/>
    <w:rsid w:val="009D739A"/>
    <w:rsid w:val="009E7FB6"/>
    <w:rsid w:val="009F5C39"/>
    <w:rsid w:val="00A00432"/>
    <w:rsid w:val="00A149F2"/>
    <w:rsid w:val="00A2556B"/>
    <w:rsid w:val="00A25667"/>
    <w:rsid w:val="00A327C9"/>
    <w:rsid w:val="00A376A8"/>
    <w:rsid w:val="00A47B8D"/>
    <w:rsid w:val="00A7358B"/>
    <w:rsid w:val="00A8030E"/>
    <w:rsid w:val="00A86457"/>
    <w:rsid w:val="00A90A1C"/>
    <w:rsid w:val="00A953D4"/>
    <w:rsid w:val="00AA7299"/>
    <w:rsid w:val="00AC7982"/>
    <w:rsid w:val="00AD4C1E"/>
    <w:rsid w:val="00AF2B4E"/>
    <w:rsid w:val="00B07D72"/>
    <w:rsid w:val="00B5096D"/>
    <w:rsid w:val="00B7199E"/>
    <w:rsid w:val="00B809C1"/>
    <w:rsid w:val="00B9412E"/>
    <w:rsid w:val="00BA0336"/>
    <w:rsid w:val="00BA4742"/>
    <w:rsid w:val="00BC113E"/>
    <w:rsid w:val="00BC705F"/>
    <w:rsid w:val="00BD0BED"/>
    <w:rsid w:val="00BF6F91"/>
    <w:rsid w:val="00C21A5A"/>
    <w:rsid w:val="00C27237"/>
    <w:rsid w:val="00C30B20"/>
    <w:rsid w:val="00C36077"/>
    <w:rsid w:val="00C420E7"/>
    <w:rsid w:val="00C5132E"/>
    <w:rsid w:val="00C53B1E"/>
    <w:rsid w:val="00C604B2"/>
    <w:rsid w:val="00C91A99"/>
    <w:rsid w:val="00CB0D0D"/>
    <w:rsid w:val="00CB3CE1"/>
    <w:rsid w:val="00CB5AC0"/>
    <w:rsid w:val="00CD2F9B"/>
    <w:rsid w:val="00CE41FC"/>
    <w:rsid w:val="00CE42C8"/>
    <w:rsid w:val="00CE6828"/>
    <w:rsid w:val="00D05E20"/>
    <w:rsid w:val="00D24A6C"/>
    <w:rsid w:val="00D3455F"/>
    <w:rsid w:val="00D921A4"/>
    <w:rsid w:val="00DC36ED"/>
    <w:rsid w:val="00DD1025"/>
    <w:rsid w:val="00DE2DDE"/>
    <w:rsid w:val="00DF72BD"/>
    <w:rsid w:val="00E16C33"/>
    <w:rsid w:val="00E34D42"/>
    <w:rsid w:val="00E5588F"/>
    <w:rsid w:val="00E7567E"/>
    <w:rsid w:val="00E81557"/>
    <w:rsid w:val="00E857BC"/>
    <w:rsid w:val="00E93348"/>
    <w:rsid w:val="00EC7704"/>
    <w:rsid w:val="00ED1967"/>
    <w:rsid w:val="00ED3C4C"/>
    <w:rsid w:val="00EE3365"/>
    <w:rsid w:val="00F53728"/>
    <w:rsid w:val="00F60068"/>
    <w:rsid w:val="00F64D9A"/>
    <w:rsid w:val="00F76BE3"/>
    <w:rsid w:val="00F921AA"/>
    <w:rsid w:val="00FC18A9"/>
    <w:rsid w:val="00FC5452"/>
    <w:rsid w:val="00FD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208"/>
    <w:rPr>
      <w:sz w:val="24"/>
      <w:szCs w:val="24"/>
    </w:rPr>
  </w:style>
  <w:style w:type="paragraph" w:styleId="Heading1">
    <w:name w:val="heading 1"/>
    <w:basedOn w:val="Normal"/>
    <w:next w:val="Normal"/>
    <w:qFormat/>
    <w:rsid w:val="009B08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B08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8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B08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08F8"/>
  </w:style>
  <w:style w:type="character" w:styleId="Hyperlink">
    <w:name w:val="Hyperlink"/>
    <w:basedOn w:val="DefaultParagraphFont"/>
    <w:uiPriority w:val="99"/>
    <w:rsid w:val="009B08F8"/>
    <w:rPr>
      <w:color w:val="0000FF"/>
      <w:u w:val="single"/>
    </w:rPr>
  </w:style>
  <w:style w:type="paragraph" w:styleId="BalloonText">
    <w:name w:val="Balloon Text"/>
    <w:basedOn w:val="Normal"/>
    <w:semiHidden/>
    <w:rsid w:val="00F537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53728"/>
    <w:rPr>
      <w:color w:val="60642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21329"/>
    <w:rPr>
      <w:sz w:val="24"/>
      <w:szCs w:val="24"/>
    </w:rPr>
  </w:style>
  <w:style w:type="paragraph" w:customStyle="1" w:styleId="Body">
    <w:name w:val="Body"/>
    <w:basedOn w:val="Normal"/>
    <w:rsid w:val="00556B40"/>
    <w:pPr>
      <w:spacing w:before="120" w:after="120"/>
      <w:ind w:left="1440"/>
    </w:pPr>
    <w:rPr>
      <w:noProof/>
      <w:color w:val="000000"/>
      <w:sz w:val="22"/>
      <w:szCs w:val="20"/>
    </w:rPr>
  </w:style>
  <w:style w:type="paragraph" w:customStyle="1" w:styleId="Heading2">
    <w:name w:val="Heading2"/>
    <w:basedOn w:val="Normal"/>
    <w:rsid w:val="00556B40"/>
    <w:pPr>
      <w:keepNext/>
      <w:tabs>
        <w:tab w:val="left" w:pos="1440"/>
      </w:tabs>
      <w:spacing w:before="340" w:line="300" w:lineRule="atLeast"/>
      <w:ind w:left="1440" w:hanging="1440"/>
    </w:pPr>
    <w:rPr>
      <w:rFonts w:ascii="Arial" w:hAnsi="Arial"/>
      <w:b/>
      <w:noProof/>
      <w:color w:val="000000"/>
      <w:sz w:val="28"/>
      <w:szCs w:val="20"/>
    </w:rPr>
  </w:style>
  <w:style w:type="paragraph" w:customStyle="1" w:styleId="Tablebody">
    <w:name w:val="Table_body"/>
    <w:basedOn w:val="Normal"/>
    <w:rsid w:val="00556B40"/>
    <w:rPr>
      <w:noProof/>
      <w:color w:val="000000"/>
      <w:sz w:val="18"/>
      <w:szCs w:val="20"/>
    </w:rPr>
  </w:style>
  <w:style w:type="paragraph" w:customStyle="1" w:styleId="Tableheading">
    <w:name w:val="Table_heading"/>
    <w:basedOn w:val="Normal"/>
    <w:rsid w:val="00556B40"/>
    <w:pPr>
      <w:spacing w:line="320" w:lineRule="atLeast"/>
      <w:jc w:val="center"/>
    </w:pPr>
    <w:rPr>
      <w:rFonts w:ascii="Arial" w:hAnsi="Arial"/>
      <w:b/>
      <w:noProof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A8030E"/>
    <w:pPr>
      <w:ind w:left="720"/>
      <w:contextualSpacing/>
    </w:pPr>
  </w:style>
  <w:style w:type="table" w:styleId="TableGrid">
    <w:name w:val="Table Grid"/>
    <w:basedOn w:val="TableNormal"/>
    <w:rsid w:val="00185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A2707"/>
    <w:pPr>
      <w:spacing w:after="2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3A2707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4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4D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lockText">
    <w:name w:val="Block Text"/>
    <w:basedOn w:val="Normal"/>
    <w:qFormat/>
    <w:rsid w:val="00E34D42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nturylink.com/wholesale/systems/ossconsol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092B5-F68A-4CD4-95F4-E6451EE7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Qwest</Company>
  <LinksUpToDate>false</LinksUpToDate>
  <CharactersWithSpaces>5911</CharactersWithSpaces>
  <SharedDoc>false</SharedDoc>
  <HLinks>
    <vt:vector size="24" baseType="variant"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4915266</vt:i4>
      </vt:variant>
      <vt:variant>
        <vt:i4>0</vt:i4>
      </vt:variant>
      <vt:variant>
        <vt:i4>0</vt:i4>
      </vt:variant>
      <vt:variant>
        <vt:i4>5</vt:i4>
      </vt:variant>
      <vt:variant>
        <vt:lpwstr>http://www.atis.org/obf/index.asp</vt:lpwstr>
      </vt:variant>
      <vt:variant>
        <vt:lpwstr/>
      </vt:variant>
      <vt:variant>
        <vt:i4>3932264</vt:i4>
      </vt:variant>
      <vt:variant>
        <vt:i4>3</vt:i4>
      </vt:variant>
      <vt:variant>
        <vt:i4>0</vt:i4>
      </vt:variant>
      <vt:variant>
        <vt:i4>5</vt:i4>
      </vt:variant>
      <vt:variant>
        <vt:lpwstr>http://www.qwest.com/wholesale/systems/asr.html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petersod</dc:creator>
  <cp:lastModifiedBy>Deborah Peterson</cp:lastModifiedBy>
  <cp:revision>3</cp:revision>
  <cp:lastPrinted>2005-01-24T13:37:00Z</cp:lastPrinted>
  <dcterms:created xsi:type="dcterms:W3CDTF">2016-06-02T16:49:00Z</dcterms:created>
  <dcterms:modified xsi:type="dcterms:W3CDTF">2016-06-09T14:54:00Z</dcterms:modified>
</cp:coreProperties>
</file>